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74"/>
        <w:gridCol w:w="2191"/>
      </w:tblGrid>
      <w:tr w:rsidR="00F16423" w14:paraId="4B18F25A" w14:textId="77777777">
        <w:trPr>
          <w:trHeight w:val="2161"/>
        </w:trPr>
        <w:tc>
          <w:tcPr>
            <w:tcW w:w="76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587A" w14:textId="77777777" w:rsidR="00F16423" w:rsidRDefault="00B53061">
            <w:pPr>
              <w:pStyle w:val="BodyA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THE SOCIETY FOR</w:t>
            </w:r>
          </w:p>
          <w:p w14:paraId="5144F405" w14:textId="77777777" w:rsidR="00F16423" w:rsidRDefault="00B53061">
            <w:pPr>
              <w:pStyle w:val="BodyA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POST-MEDIEVAL ARCHAEOLOGY</w:t>
            </w:r>
          </w:p>
          <w:p w14:paraId="5D524A64" w14:textId="77777777" w:rsidR="00F16423" w:rsidRDefault="00F16423">
            <w:pPr>
              <w:pStyle w:val="BodyA"/>
              <w:rPr>
                <w:b/>
                <w:bCs/>
                <w:sz w:val="32"/>
                <w:szCs w:val="32"/>
              </w:rPr>
            </w:pPr>
          </w:p>
          <w:p w14:paraId="38FCD1B8" w14:textId="77777777" w:rsidR="00F16423" w:rsidRDefault="00B53061">
            <w:pPr>
              <w:pStyle w:val="BodyA"/>
            </w:pPr>
            <w:r>
              <w:rPr>
                <w:rFonts w:ascii="Calibri" w:hAnsi="Calibri"/>
                <w:b/>
                <w:bCs/>
                <w:sz w:val="36"/>
                <w:szCs w:val="36"/>
              </w:rPr>
              <w:t>The Paul and Yolanda Courtney Congress Bursary Award Application Form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4F31" w14:textId="77777777" w:rsidR="00F16423" w:rsidRDefault="00B53061">
            <w:pPr>
              <w:pStyle w:val="BodyA"/>
              <w:jc w:val="right"/>
            </w:pPr>
            <w:r>
              <w:rPr>
                <w:noProof/>
                <w:color w:val="3366FF"/>
                <w:sz w:val="16"/>
                <w:szCs w:val="16"/>
                <w:u w:color="3366FF"/>
              </w:rPr>
              <w:drawing>
                <wp:inline distT="0" distB="0" distL="0" distR="0" wp14:anchorId="7F92D232" wp14:editId="3E96BD47">
                  <wp:extent cx="983615" cy="1308100"/>
                  <wp:effectExtent l="0" t="0" r="0" b="0"/>
                  <wp:docPr id="1073741825" name="officeArt object" descr="SP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PMA" descr="SPM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13081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64196" w14:textId="77777777" w:rsidR="00F16423" w:rsidRDefault="00F16423">
      <w:pPr>
        <w:pStyle w:val="Body"/>
        <w:widowControl w:val="0"/>
        <w:ind w:left="216" w:hanging="216"/>
      </w:pPr>
    </w:p>
    <w:p w14:paraId="4BDED7A1" w14:textId="77777777" w:rsidR="00F16423" w:rsidRDefault="00F16423">
      <w:pPr>
        <w:pStyle w:val="BodyB"/>
        <w:widowControl w:val="0"/>
        <w:ind w:left="108" w:hanging="108"/>
      </w:pPr>
    </w:p>
    <w:p w14:paraId="3F0327E9" w14:textId="77777777" w:rsidR="00F16423" w:rsidRDefault="00F16423">
      <w:pPr>
        <w:pStyle w:val="BodyA"/>
        <w:widowControl w:val="0"/>
        <w:jc w:val="both"/>
      </w:pPr>
    </w:p>
    <w:p w14:paraId="771EE91D" w14:textId="77777777" w:rsidR="00F16423" w:rsidRDefault="00B53061">
      <w:pPr>
        <w:pStyle w:val="BodyA"/>
        <w:jc w:val="both"/>
        <w:rPr>
          <w:b/>
          <w:bCs/>
          <w:color w:val="3366FF"/>
          <w:sz w:val="28"/>
          <w:szCs w:val="28"/>
          <w:u w:color="3366FF"/>
        </w:rPr>
      </w:pPr>
      <w:r>
        <w:rPr>
          <w:b/>
          <w:bCs/>
          <w:color w:val="3366FF"/>
          <w:sz w:val="32"/>
          <w:szCs w:val="32"/>
          <w:u w:color="3366FF"/>
        </w:rPr>
        <w:tab/>
      </w:r>
      <w:r>
        <w:rPr>
          <w:b/>
          <w:bCs/>
          <w:color w:val="3366FF"/>
          <w:sz w:val="32"/>
          <w:szCs w:val="32"/>
          <w:u w:color="3366FF"/>
        </w:rPr>
        <w:tab/>
      </w:r>
      <w:r>
        <w:rPr>
          <w:b/>
          <w:bCs/>
          <w:color w:val="3366FF"/>
          <w:sz w:val="28"/>
          <w:szCs w:val="28"/>
          <w:u w:color="3366FF"/>
        </w:rPr>
        <w:t xml:space="preserve"> </w:t>
      </w:r>
    </w:p>
    <w:p w14:paraId="77E1E4B5" w14:textId="77777777" w:rsidR="00F16423" w:rsidRDefault="00B53061">
      <w:pPr>
        <w:pStyle w:val="BodyA"/>
        <w:spacing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About the award:</w:t>
      </w:r>
    </w:p>
    <w:p w14:paraId="300FF89A" w14:textId="77777777" w:rsidR="00F16423" w:rsidRDefault="00B53061">
      <w:pPr>
        <w:pStyle w:val="BodyA"/>
        <w:shd w:val="clear" w:color="auto" w:fill="FFFFFF"/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The Society makes an annual award, in memory of Paul </w:t>
      </w:r>
      <w:r>
        <w:rPr>
          <w:rFonts w:ascii="Calibri" w:hAnsi="Calibri"/>
        </w:rPr>
        <w:t xml:space="preserve">and Yolanda </w:t>
      </w:r>
      <w:r>
        <w:rPr>
          <w:rFonts w:ascii="Calibri" w:hAnsi="Calibri"/>
        </w:rPr>
        <w:t>Courtney, to enable attendance at the Society</w:t>
      </w:r>
      <w:r>
        <w:rPr>
          <w:rFonts w:ascii="Calibri" w:hAnsi="Calibri"/>
        </w:rPr>
        <w:t>’</w:t>
      </w:r>
      <w:r>
        <w:rPr>
          <w:rFonts w:ascii="Calibri" w:hAnsi="Calibri"/>
        </w:rPr>
        <w:t xml:space="preserve">s annual Congress on post-medieval archaeology. Each award proposal will be subject to a maximum of </w:t>
      </w:r>
      <w:r>
        <w:rPr>
          <w:rFonts w:ascii="Calibri" w:hAnsi="Calibri"/>
        </w:rPr>
        <w:t>£</w:t>
      </w:r>
      <w:r>
        <w:rPr>
          <w:rFonts w:ascii="Calibri" w:hAnsi="Calibri"/>
        </w:rPr>
        <w:t xml:space="preserve">250, and the total fund available in a single application round is </w:t>
      </w:r>
      <w:r>
        <w:rPr>
          <w:rFonts w:ascii="Calibri" w:hAnsi="Calibri"/>
        </w:rPr>
        <w:t>£</w:t>
      </w:r>
      <w:r>
        <w:rPr>
          <w:rFonts w:ascii="Calibri" w:hAnsi="Calibri"/>
        </w:rPr>
        <w:t xml:space="preserve">250. The award may be split between one or two applicants. </w:t>
      </w:r>
    </w:p>
    <w:p w14:paraId="6FC107BB" w14:textId="77777777" w:rsidR="00F16423" w:rsidRDefault="00B53061">
      <w:pPr>
        <w:pStyle w:val="BodyA"/>
        <w:shd w:val="clear" w:color="auto" w:fill="FFFFFF"/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Council will </w:t>
      </w:r>
      <w:proofErr w:type="spellStart"/>
      <w:r>
        <w:rPr>
          <w:rFonts w:ascii="Calibri" w:hAnsi="Calibri"/>
        </w:rPr>
        <w:t>prioritise</w:t>
      </w:r>
      <w:proofErr w:type="spellEnd"/>
      <w:r>
        <w:rPr>
          <w:rFonts w:ascii="Calibri" w:hAnsi="Calibri"/>
        </w:rPr>
        <w:t xml:space="preserve"> the following groups: first-time attendees, students, those on low income and BAME and minority applicants (all self-defined). Applicants can </w:t>
      </w:r>
      <w:proofErr w:type="gramStart"/>
      <w:r>
        <w:rPr>
          <w:rFonts w:ascii="Calibri" w:hAnsi="Calibri"/>
        </w:rPr>
        <w:t>be located in</w:t>
      </w:r>
      <w:proofErr w:type="gramEnd"/>
      <w:r>
        <w:rPr>
          <w:rFonts w:ascii="Calibri" w:hAnsi="Calibri"/>
        </w:rPr>
        <w:t xml:space="preserve"> any part of the world.  Council will not </w:t>
      </w:r>
      <w:proofErr w:type="spellStart"/>
      <w:r>
        <w:rPr>
          <w:rFonts w:ascii="Calibri" w:hAnsi="Calibri"/>
        </w:rPr>
        <w:t>favour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presentation</w:t>
      </w:r>
      <w:proofErr w:type="gramEnd"/>
      <w:r>
        <w:rPr>
          <w:rFonts w:ascii="Calibri" w:hAnsi="Calibri"/>
        </w:rPr>
        <w:t xml:space="preserve"> over attendance, and there is no restriction on age. Applicants need not be members of the Society. The award can be spent on registration/travel/hotel costs/childcare costs. Payments will be made to applicants before the congress.</w:t>
      </w:r>
    </w:p>
    <w:p w14:paraId="5B527E54" w14:textId="77777777" w:rsidR="00F16423" w:rsidRDefault="00F16423">
      <w:pPr>
        <w:pStyle w:val="BodyA"/>
        <w:shd w:val="clear" w:color="auto" w:fill="FFFFFF"/>
        <w:spacing w:after="120" w:line="276" w:lineRule="auto"/>
        <w:jc w:val="both"/>
        <w:rPr>
          <w:rFonts w:ascii="Calibri" w:eastAsia="Calibri" w:hAnsi="Calibri" w:cs="Calibri"/>
        </w:rPr>
      </w:pPr>
    </w:p>
    <w:p w14:paraId="06C53DDA" w14:textId="77777777" w:rsidR="00F16423" w:rsidRDefault="00B53061">
      <w:pPr>
        <w:pStyle w:val="BodyA"/>
        <w:shd w:val="clear" w:color="auto" w:fill="FFFFFF"/>
        <w:spacing w:after="12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Reports:</w:t>
      </w:r>
    </w:p>
    <w:p w14:paraId="57E285CC" w14:textId="77777777" w:rsidR="00F16423" w:rsidRDefault="00B53061">
      <w:pPr>
        <w:pStyle w:val="BodyA"/>
        <w:shd w:val="clear" w:color="auto" w:fill="FFFFFF"/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Awardees will be required to write a short report on their experience at the congress for the Society website and newsletter within three months of the congress.</w:t>
      </w:r>
    </w:p>
    <w:p w14:paraId="2833C664" w14:textId="77777777" w:rsidR="00F16423" w:rsidRDefault="00B53061">
      <w:pPr>
        <w:pStyle w:val="BodyA"/>
        <w:shd w:val="clear" w:color="auto" w:fill="FFFFFF"/>
        <w:spacing w:line="276" w:lineRule="auto"/>
        <w:jc w:val="both"/>
        <w:rPr>
          <w:rFonts w:ascii="Calibri" w:eastAsia="Calibri" w:hAnsi="Calibri" w:cs="Calibri"/>
          <w:b/>
          <w:bCs/>
          <w:color w:val="FF0000"/>
          <w:u w:color="FF0000"/>
        </w:rPr>
      </w:pPr>
      <w:r>
        <w:rPr>
          <w:rFonts w:ascii="Calibri" w:hAnsi="Calibri"/>
          <w:b/>
          <w:bCs/>
          <w:color w:val="FF0000"/>
          <w:u w:color="FF0000"/>
        </w:rPr>
        <w:t>The deadline for receipt of applications is 15</w:t>
      </w:r>
      <w:r>
        <w:rPr>
          <w:rFonts w:ascii="Calibri" w:hAnsi="Calibri"/>
          <w:b/>
          <w:bCs/>
          <w:color w:val="FF0000"/>
          <w:u w:color="FF0000"/>
          <w:vertAlign w:val="superscript"/>
        </w:rPr>
        <w:t>th</w:t>
      </w:r>
      <w:r>
        <w:rPr>
          <w:rFonts w:ascii="Calibri" w:hAnsi="Calibri"/>
          <w:b/>
          <w:bCs/>
          <w:color w:val="FF0000"/>
          <w:u w:color="FF0000"/>
        </w:rPr>
        <w:t xml:space="preserve"> January each year.</w:t>
      </w:r>
    </w:p>
    <w:p w14:paraId="654EB7A7" w14:textId="77777777" w:rsidR="00F16423" w:rsidRDefault="00B53061">
      <w:pPr>
        <w:pStyle w:val="BodyA"/>
        <w:spacing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Arial Unicode MS" w:hAnsi="Arial Unicode MS"/>
        </w:rPr>
        <w:br/>
      </w:r>
      <w:r>
        <w:rPr>
          <w:rFonts w:ascii="Calibri" w:hAnsi="Calibri"/>
          <w:b/>
          <w:bCs/>
        </w:rPr>
        <w:t>How to apply:</w:t>
      </w:r>
    </w:p>
    <w:p w14:paraId="17E86CE5" w14:textId="77777777" w:rsidR="00F16423" w:rsidRDefault="00B53061">
      <w:pPr>
        <w:pStyle w:val="BodyA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Applicants should complete this </w:t>
      </w:r>
      <w:proofErr w:type="gramStart"/>
      <w:r>
        <w:rPr>
          <w:rFonts w:ascii="Calibri" w:hAnsi="Calibri"/>
        </w:rPr>
        <w:t>form,</w:t>
      </w:r>
      <w:proofErr w:type="gramEnd"/>
      <w:r>
        <w:rPr>
          <w:rFonts w:ascii="Calibri" w:hAnsi="Calibri"/>
        </w:rPr>
        <w:t xml:space="preserve"> outlining why attendance would be useful, any expected outcomes from attendance, and a breakdown of expected costs. Once completed, this form should be submitted to the Society</w:t>
      </w:r>
      <w:r>
        <w:rPr>
          <w:rFonts w:ascii="Calibri" w:hAnsi="Calibri"/>
        </w:rPr>
        <w:t>’</w:t>
      </w:r>
      <w:r>
        <w:rPr>
          <w:rFonts w:ascii="Calibri" w:hAnsi="Calibri"/>
        </w:rPr>
        <w:t>s Prize Co-</w:t>
      </w:r>
      <w:proofErr w:type="spellStart"/>
      <w:r>
        <w:rPr>
          <w:rFonts w:ascii="Calibri" w:hAnsi="Calibri"/>
        </w:rPr>
        <w:t>ordinator</w:t>
      </w:r>
      <w:proofErr w:type="spellEnd"/>
      <w:r>
        <w:rPr>
          <w:rFonts w:ascii="Calibri" w:hAnsi="Calibri"/>
        </w:rPr>
        <w:t xml:space="preserve"> at prizes@spma.org.uk. Successful applicants will be informed by 15th February.</w:t>
      </w:r>
    </w:p>
    <w:p w14:paraId="4AA63DE5" w14:textId="77777777" w:rsidR="00F16423" w:rsidRDefault="00F16423">
      <w:pPr>
        <w:pStyle w:val="BodyA"/>
        <w:spacing w:line="276" w:lineRule="auto"/>
        <w:jc w:val="both"/>
        <w:outlineLvl w:val="0"/>
        <w:rPr>
          <w:rFonts w:ascii="Calibri" w:eastAsia="Calibri" w:hAnsi="Calibri" w:cs="Calibri"/>
        </w:rPr>
      </w:pPr>
    </w:p>
    <w:p w14:paraId="66A15693" w14:textId="77777777" w:rsidR="00F16423" w:rsidRDefault="00B53061">
      <w:pPr>
        <w:pStyle w:val="BodyA"/>
        <w:spacing w:line="276" w:lineRule="auto"/>
        <w:jc w:val="both"/>
        <w:outlineLvl w:val="0"/>
        <w:rPr>
          <w:rStyle w:val="Hyperlink0"/>
        </w:rPr>
      </w:pPr>
      <w:r>
        <w:rPr>
          <w:rFonts w:ascii="Calibri" w:hAnsi="Calibri"/>
        </w:rPr>
        <w:t xml:space="preserve">Further information about other SPMA grants may be found on our website: </w:t>
      </w:r>
      <w:hyperlink r:id="rId7" w:history="1">
        <w:r>
          <w:rPr>
            <w:rStyle w:val="Hyperlink0"/>
          </w:rPr>
          <w:t>www.spma.org.uk</w:t>
        </w:r>
      </w:hyperlink>
    </w:p>
    <w:p w14:paraId="5683442E" w14:textId="77777777" w:rsidR="00F16423" w:rsidRDefault="00F16423">
      <w:pPr>
        <w:pStyle w:val="BodyA"/>
        <w:jc w:val="both"/>
        <w:outlineLvl w:val="0"/>
        <w:rPr>
          <w:rStyle w:val="Hyperlink0"/>
        </w:rPr>
      </w:pPr>
    </w:p>
    <w:p w14:paraId="04DB7F71" w14:textId="77777777" w:rsidR="00F16423" w:rsidRDefault="00B53061">
      <w:pPr>
        <w:pStyle w:val="BodyA"/>
      </w:pPr>
      <w:r>
        <w:rPr>
          <w:rStyle w:val="None"/>
          <w:rFonts w:ascii="Arial Unicode MS" w:hAnsi="Arial Unicode MS"/>
          <w:color w:val="0000FF"/>
          <w:sz w:val="22"/>
          <w:szCs w:val="22"/>
          <w:u w:val="single" w:color="0000FF"/>
        </w:rPr>
        <w:br w:type="page"/>
      </w:r>
    </w:p>
    <w:tbl>
      <w:tblPr>
        <w:tblW w:w="1003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1"/>
      </w:tblGrid>
      <w:tr w:rsidR="00F16423" w14:paraId="7935BBC6" w14:textId="77777777">
        <w:trPr>
          <w:trHeight w:val="37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4C6A6" w14:textId="77777777" w:rsidR="00F16423" w:rsidRDefault="00B53061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lastRenderedPageBreak/>
              <w:t xml:space="preserve">Title and full name: </w:t>
            </w:r>
          </w:p>
        </w:tc>
      </w:tr>
      <w:tr w:rsidR="00F16423" w14:paraId="26C7223A" w14:textId="77777777">
        <w:trPr>
          <w:trHeight w:val="372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834F" w14:textId="77777777" w:rsidR="00F16423" w:rsidRDefault="00B53061">
            <w:pPr>
              <w:pStyle w:val="BodyB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University enrolled in, degree course and level:</w:t>
            </w:r>
          </w:p>
        </w:tc>
      </w:tr>
      <w:tr w:rsidR="00F16423" w14:paraId="382B46C1" w14:textId="77777777">
        <w:trPr>
          <w:trHeight w:val="154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CB36" w14:textId="77777777" w:rsidR="00F16423" w:rsidRDefault="00B53061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Address:</w:t>
            </w:r>
          </w:p>
          <w:p w14:paraId="75189CAC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4C3F6C51" w14:textId="77777777" w:rsidR="00F16423" w:rsidRDefault="00F16423">
            <w:pPr>
              <w:pStyle w:val="BodyA"/>
            </w:pPr>
          </w:p>
        </w:tc>
      </w:tr>
      <w:tr w:rsidR="00F16423" w14:paraId="704A2B95" w14:textId="77777777">
        <w:trPr>
          <w:trHeight w:val="404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2018" w14:textId="77777777" w:rsidR="00F16423" w:rsidRDefault="00B53061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Email address: </w:t>
            </w:r>
          </w:p>
        </w:tc>
      </w:tr>
      <w:tr w:rsidR="00F16423" w14:paraId="3342B994" w14:textId="77777777">
        <w:trPr>
          <w:trHeight w:val="47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6DE80" w14:textId="77777777" w:rsidR="00F16423" w:rsidRDefault="00B53061">
            <w:pPr>
              <w:pStyle w:val="BodyA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Total funds requested from SPMA: </w:t>
            </w:r>
          </w:p>
        </w:tc>
      </w:tr>
      <w:tr w:rsidR="00F16423" w14:paraId="3310B5C8" w14:textId="77777777">
        <w:trPr>
          <w:trHeight w:val="47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3DE1" w14:textId="77777777" w:rsidR="00F16423" w:rsidRDefault="00B53061">
            <w:pPr>
              <w:pStyle w:val="BodyB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Other funds applied for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towards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attending this congress:</w:t>
            </w:r>
          </w:p>
        </w:tc>
      </w:tr>
      <w:tr w:rsidR="00F16423" w14:paraId="7CDF9C79" w14:textId="77777777">
        <w:trPr>
          <w:trHeight w:val="726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99B7" w14:textId="77777777" w:rsidR="00F16423" w:rsidRDefault="00B53061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This box should be used to outline the details of the proposed travel, why attendance would be useful </w:t>
            </w:r>
            <w:r>
              <w:rPr>
                <w:rStyle w:val="None"/>
                <w:rFonts w:ascii="Calibri" w:hAnsi="Calibri"/>
                <w:sz w:val="22"/>
                <w:szCs w:val="22"/>
                <w:u w:color="FF2600"/>
              </w:rPr>
              <w:t>(incl. which sessions, speakers, or areas of research are of particular interest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), any expected outcomes from attendance (and how they meet the SPMA priorities stated above), and a </w:t>
            </w:r>
            <w:r>
              <w:rPr>
                <w:rStyle w:val="None"/>
                <w:rFonts w:ascii="Calibri" w:hAnsi="Calibri"/>
                <w:b/>
                <w:bCs/>
                <w:sz w:val="22"/>
                <w:szCs w:val="22"/>
              </w:rPr>
              <w:t>detailed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breakdown of expected costs </w:t>
            </w:r>
            <w:r>
              <w:rPr>
                <w:rStyle w:val="None"/>
                <w:rFonts w:ascii="Calibri" w:hAnsi="Calibri"/>
                <w:sz w:val="22"/>
                <w:szCs w:val="22"/>
                <w:u w:val="single"/>
              </w:rPr>
              <w:t>in no more than 500 words.</w:t>
            </w: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 Also, please inform us whether you have attended previous 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congresses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or not.</w:t>
            </w:r>
          </w:p>
          <w:p w14:paraId="4E87D613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4C2C7383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605855E9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37E4A602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59C176D0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6DF7EC77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5B378871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7C7A3096" w14:textId="77777777" w:rsidR="00F16423" w:rsidRDefault="00F16423">
            <w:pPr>
              <w:pStyle w:val="BodyA"/>
              <w:rPr>
                <w:rStyle w:val="None"/>
                <w:rFonts w:ascii="Calibri" w:eastAsia="Calibri" w:hAnsi="Calibri" w:cs="Calibri"/>
                <w:sz w:val="22"/>
                <w:szCs w:val="22"/>
              </w:rPr>
            </w:pPr>
          </w:p>
          <w:p w14:paraId="76A6ED04" w14:textId="77777777" w:rsidR="00F16423" w:rsidRDefault="00F16423">
            <w:pPr>
              <w:pStyle w:val="BodyA"/>
            </w:pPr>
          </w:p>
        </w:tc>
      </w:tr>
    </w:tbl>
    <w:p w14:paraId="2982CF0F" w14:textId="77777777" w:rsidR="00F16423" w:rsidRDefault="00F16423">
      <w:pPr>
        <w:pStyle w:val="BodyA"/>
        <w:widowControl w:val="0"/>
        <w:ind w:left="216" w:hanging="216"/>
        <w:rPr>
          <w:rStyle w:val="None"/>
          <w:rFonts w:ascii="Arial Unicode MS" w:hAnsi="Arial Unicode MS"/>
          <w:color w:val="0000FF"/>
          <w:sz w:val="22"/>
          <w:szCs w:val="22"/>
          <w:u w:val="single" w:color="0000FF"/>
        </w:rPr>
      </w:pPr>
    </w:p>
    <w:p w14:paraId="298785CE" w14:textId="77777777" w:rsidR="00F16423" w:rsidRDefault="00F16423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4F24E735" w14:textId="77777777" w:rsidR="00F16423" w:rsidRDefault="00B53061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I hereby agree that I will supply a report on my experience at the Congress for the Society website (website@spma.org.uk) and newsletter (newsletter@spma.org.uk) within three months of the Congress. </w:t>
      </w:r>
    </w:p>
    <w:p w14:paraId="55C6BF02" w14:textId="77777777" w:rsidR="00F16423" w:rsidRDefault="00F16423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449A9900" w14:textId="77777777" w:rsidR="00F16423" w:rsidRDefault="00F16423">
      <w:pPr>
        <w:pStyle w:val="BodyA"/>
        <w:rPr>
          <w:rStyle w:val="None"/>
          <w:rFonts w:ascii="Calibri" w:eastAsia="Calibri" w:hAnsi="Calibri" w:cs="Calibri"/>
          <w:sz w:val="22"/>
          <w:szCs w:val="22"/>
        </w:rPr>
      </w:pPr>
    </w:p>
    <w:p w14:paraId="79EC76B4" w14:textId="77777777" w:rsidR="00F16423" w:rsidRDefault="00B53061">
      <w:pPr>
        <w:pStyle w:val="BodyA"/>
      </w:pPr>
      <w:r>
        <w:rPr>
          <w:rStyle w:val="None"/>
          <w:rFonts w:ascii="Calibri" w:hAnsi="Calibri"/>
          <w:sz w:val="22"/>
          <w:szCs w:val="22"/>
          <w:lang w:val="it-IT"/>
        </w:rPr>
        <w:t>Applicant</w:t>
      </w:r>
      <w:r>
        <w:rPr>
          <w:rStyle w:val="None"/>
          <w:rFonts w:ascii="Calibri" w:hAnsi="Calibri"/>
          <w:sz w:val="22"/>
          <w:szCs w:val="22"/>
        </w:rPr>
        <w:t>’</w:t>
      </w:r>
      <w:r>
        <w:rPr>
          <w:rStyle w:val="None"/>
          <w:rFonts w:ascii="Calibri" w:hAnsi="Calibri"/>
          <w:sz w:val="22"/>
          <w:szCs w:val="22"/>
        </w:rPr>
        <w:t>s signature ________________________________________________</w:t>
      </w:r>
      <w:r>
        <w:rPr>
          <w:rStyle w:val="None"/>
          <w:rFonts w:ascii="Calibri" w:hAnsi="Calibri"/>
          <w:sz w:val="22"/>
          <w:szCs w:val="22"/>
        </w:rPr>
        <w:tab/>
        <w:t>Date___________________</w:t>
      </w:r>
    </w:p>
    <w:sectPr w:rsidR="00F1642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021" w:right="1021" w:bottom="1021" w:left="102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2578" w14:textId="77777777" w:rsidR="00B53061" w:rsidRDefault="00B53061">
      <w:r>
        <w:separator/>
      </w:r>
    </w:p>
  </w:endnote>
  <w:endnote w:type="continuationSeparator" w:id="0">
    <w:p w14:paraId="43F6EA76" w14:textId="77777777" w:rsidR="00B53061" w:rsidRDefault="00B5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C6C6" w14:textId="77777777" w:rsidR="00F16423" w:rsidRDefault="00F16423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3E14" w14:textId="77777777" w:rsidR="00F16423" w:rsidRDefault="00B53061">
    <w:pPr>
      <w:pStyle w:val="BodyA"/>
      <w:rPr>
        <w:b/>
        <w:bCs/>
        <w:sz w:val="18"/>
        <w:szCs w:val="18"/>
      </w:rPr>
    </w:pPr>
    <w:r>
      <w:rPr>
        <w:b/>
        <w:bCs/>
        <w:sz w:val="18"/>
        <w:szCs w:val="18"/>
      </w:rPr>
      <w:t>The Society for Post-Medieval Archaeology Ltd.</w:t>
    </w:r>
  </w:p>
  <w:p w14:paraId="791E7881" w14:textId="77777777" w:rsidR="00F16423" w:rsidRDefault="00B53061">
    <w:pPr>
      <w:pStyle w:val="BodyA"/>
      <w:rPr>
        <w:sz w:val="18"/>
        <w:szCs w:val="18"/>
      </w:rPr>
    </w:pPr>
    <w:r>
      <w:rPr>
        <w:sz w:val="18"/>
        <w:szCs w:val="18"/>
      </w:rPr>
      <w:t>Registered Company No. (England) 1477528. Registered Charity No. 281651</w:t>
    </w:r>
  </w:p>
  <w:p w14:paraId="2101D4A4" w14:textId="77777777" w:rsidR="00F16423" w:rsidRDefault="00B53061">
    <w:pPr>
      <w:pStyle w:val="BodyA"/>
      <w:rPr>
        <w:sz w:val="18"/>
        <w:szCs w:val="18"/>
      </w:rPr>
    </w:pPr>
    <w:r>
      <w:rPr>
        <w:sz w:val="18"/>
        <w:szCs w:val="18"/>
      </w:rPr>
      <w:t>Registered Office: c/o Society of Antiquaries of London, Burlington House, Piccadilly, London, W1J 0BE</w:t>
    </w:r>
  </w:p>
  <w:p w14:paraId="5E476115" w14:textId="77777777" w:rsidR="00F16423" w:rsidRDefault="00B53061">
    <w:pPr>
      <w:pStyle w:val="BodyA"/>
    </w:pPr>
    <w:r>
      <w:rPr>
        <w:color w:val="0000FF"/>
        <w:sz w:val="18"/>
        <w:szCs w:val="18"/>
        <w:u w:val="single" w:color="0000FF"/>
      </w:rPr>
      <w:t>www.spma.org.uk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ECBB" w14:textId="77777777" w:rsidR="00B53061" w:rsidRDefault="00B53061">
      <w:r>
        <w:separator/>
      </w:r>
    </w:p>
  </w:footnote>
  <w:footnote w:type="continuationSeparator" w:id="0">
    <w:p w14:paraId="1D1B8309" w14:textId="77777777" w:rsidR="00B53061" w:rsidRDefault="00B5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74D9" w14:textId="77777777" w:rsidR="00F16423" w:rsidRDefault="00F16423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BACD" w14:textId="77777777" w:rsidR="00F16423" w:rsidRDefault="00F1642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23"/>
    <w:rsid w:val="00A557BE"/>
    <w:rsid w:val="00B53061"/>
    <w:rsid w:val="00BC1A91"/>
    <w:rsid w:val="00F1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6D7C"/>
  <w15:docId w15:val="{2E84E7CD-FB71-4E50-9EDB-80066BA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pma.org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2127</Characters>
  <Application>Microsoft Office Word</Application>
  <DocSecurity>0</DocSecurity>
  <Lines>64</Lines>
  <Paragraphs>21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Whitaker, Katy</dc:creator>
  <cp:lastModifiedBy>Whitaker, Katy</cp:lastModifiedBy>
  <cp:revision>3</cp:revision>
  <dcterms:created xsi:type="dcterms:W3CDTF">2026-01-06T09:18:00Z</dcterms:created>
  <dcterms:modified xsi:type="dcterms:W3CDTF">2026-01-06T09:18:00Z</dcterms:modified>
</cp:coreProperties>
</file>